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F57F4D" w14:paraId="48A2F569" w14:textId="77777777" w:rsidTr="00F57F4D">
        <w:tc>
          <w:tcPr>
            <w:tcW w:w="3256" w:type="dxa"/>
          </w:tcPr>
          <w:p w14:paraId="292CEA27" w14:textId="20522A1A" w:rsidR="00F57F4D" w:rsidRDefault="00F57F4D">
            <w:r>
              <w:rPr>
                <w:noProof/>
              </w:rPr>
              <w:drawing>
                <wp:inline distT="0" distB="0" distL="0" distR="0" wp14:anchorId="0B25EF9B" wp14:editId="4965BDB6">
                  <wp:extent cx="1911350" cy="780556"/>
                  <wp:effectExtent l="0" t="0" r="0" b="0"/>
                  <wp:docPr id="5" name="Kép 5" descr="A képen rajz, aláírá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 descr="A képen rajz, aláírás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730" cy="78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</w:tcPr>
          <w:p w14:paraId="375FD595" w14:textId="77777777" w:rsidR="00A42937" w:rsidRDefault="00A42937" w:rsidP="00A42937">
            <w:pPr>
              <w:jc w:val="right"/>
            </w:pPr>
          </w:p>
          <w:p w14:paraId="1F3B1D63" w14:textId="36D8D493" w:rsidR="00F57F4D" w:rsidRDefault="003942D4" w:rsidP="00A42937">
            <w:pPr>
              <w:jc w:val="right"/>
            </w:pPr>
            <w:r>
              <w:t>Tel: 06 1 77 33333</w:t>
            </w:r>
          </w:p>
          <w:p w14:paraId="09F67AC1" w14:textId="084FEFD3" w:rsidR="003942D4" w:rsidRDefault="00515F88" w:rsidP="00A42937">
            <w:pPr>
              <w:jc w:val="right"/>
            </w:pPr>
            <w:hyperlink r:id="rId6" w:history="1">
              <w:r w:rsidR="003942D4" w:rsidRPr="00CF7986">
                <w:rPr>
                  <w:rStyle w:val="Hiperhivatkozs"/>
                </w:rPr>
                <w:t>www.emineo.hu</w:t>
              </w:r>
            </w:hyperlink>
          </w:p>
          <w:p w14:paraId="3B1FA8FE" w14:textId="18239943" w:rsidR="003942D4" w:rsidRDefault="00A42937" w:rsidP="00A42937">
            <w:pPr>
              <w:jc w:val="right"/>
            </w:pPr>
            <w:r>
              <w:t>1016 Budapest Hegyalja út 7-13</w:t>
            </w:r>
          </w:p>
        </w:tc>
      </w:tr>
    </w:tbl>
    <w:p w14:paraId="3F8F416F" w14:textId="10C99617" w:rsidR="0070430C" w:rsidRDefault="0070430C"/>
    <w:p w14:paraId="7F7A087C" w14:textId="77777777" w:rsidR="00080E0B" w:rsidRPr="005B0373" w:rsidRDefault="00080E0B" w:rsidP="00080E0B">
      <w:pPr>
        <w:spacing w:line="360" w:lineRule="auto"/>
        <w:ind w:left="-426"/>
        <w:jc w:val="center"/>
        <w:rPr>
          <w:rFonts w:ascii="Arial" w:eastAsia="Arial" w:hAnsi="Arial" w:cs="Arial"/>
          <w:b/>
          <w:caps/>
          <w:sz w:val="28"/>
          <w:szCs w:val="28"/>
        </w:rPr>
      </w:pPr>
      <w:bookmarkStart w:id="0" w:name="_Hlk51701266"/>
      <w:r w:rsidRPr="005B0373">
        <w:rPr>
          <w:rFonts w:ascii="Arial" w:eastAsia="Arial" w:hAnsi="Arial" w:cs="Arial"/>
          <w:b/>
          <w:caps/>
          <w:sz w:val="28"/>
          <w:szCs w:val="28"/>
        </w:rPr>
        <w:t>Beleegyező nyilatkozat</w:t>
      </w:r>
      <w:r>
        <w:rPr>
          <w:rFonts w:ascii="Arial" w:eastAsia="Arial" w:hAnsi="Arial" w:cs="Arial"/>
          <w:b/>
          <w:caps/>
          <w:sz w:val="28"/>
          <w:szCs w:val="28"/>
        </w:rPr>
        <w:t xml:space="preserve"> </w:t>
      </w:r>
      <w:r w:rsidRPr="005B0373">
        <w:rPr>
          <w:rFonts w:ascii="Arial" w:eastAsia="Arial" w:hAnsi="Arial" w:cs="Arial"/>
          <w:b/>
          <w:caps/>
          <w:sz w:val="28"/>
          <w:szCs w:val="28"/>
        </w:rPr>
        <w:t>- PCR</w:t>
      </w:r>
    </w:p>
    <w:p w14:paraId="07A482F3" w14:textId="77777777" w:rsidR="00080E0B" w:rsidRPr="009A4C2F" w:rsidRDefault="00080E0B" w:rsidP="00080E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4C2F">
        <w:rPr>
          <w:rFonts w:ascii="Arial" w:eastAsia="Arial" w:hAnsi="Arial" w:cs="Arial"/>
          <w:sz w:val="20"/>
          <w:szCs w:val="20"/>
        </w:rPr>
        <w:t>SARS-CoV-2 vírus előszűrés PCR-vizsgálattal (nemzetközi standardoknak megfelelő eljárással) elvégzéséhez 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NEUMANN DIAGNOSZTIKAI LABORATÓRIUM</w:t>
      </w:r>
      <w:r w:rsidRPr="009A4C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A4C2F">
        <w:rPr>
          <w:rFonts w:ascii="Arial" w:eastAsia="Arial" w:hAnsi="Arial" w:cs="Arial"/>
          <w:sz w:val="20"/>
          <w:szCs w:val="20"/>
        </w:rPr>
        <w:t xml:space="preserve">továbbiakban, mint </w:t>
      </w:r>
      <w:r w:rsidRPr="009A4C2F">
        <w:rPr>
          <w:rFonts w:ascii="Arial" w:eastAsia="Arial" w:hAnsi="Arial" w:cs="Arial"/>
          <w:i/>
          <w:sz w:val="20"/>
          <w:szCs w:val="20"/>
        </w:rPr>
        <w:t>Mintafeldolgozó és Adatkezelő</w:t>
      </w:r>
      <w:r w:rsidRPr="009A4C2F">
        <w:rPr>
          <w:rFonts w:ascii="Arial" w:eastAsia="Arial" w:hAnsi="Arial" w:cs="Arial"/>
          <w:sz w:val="20"/>
          <w:szCs w:val="20"/>
        </w:rPr>
        <w:t xml:space="preserve"> részére.</w:t>
      </w:r>
    </w:p>
    <w:p w14:paraId="4D40482B" w14:textId="77777777" w:rsidR="00080E0B" w:rsidRPr="00230252" w:rsidRDefault="00080E0B" w:rsidP="0008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Rcsostblzat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2693"/>
        <w:gridCol w:w="284"/>
        <w:gridCol w:w="2835"/>
        <w:gridCol w:w="2409"/>
      </w:tblGrid>
      <w:tr w:rsidR="00080E0B" w:rsidRPr="00230252" w14:paraId="60D149F7" w14:textId="77777777" w:rsidTr="00E00E66">
        <w:trPr>
          <w:trHeight w:hRule="exact" w:val="397"/>
        </w:trPr>
        <w:tc>
          <w:tcPr>
            <w:tcW w:w="2411" w:type="dxa"/>
            <w:tcBorders>
              <w:right w:val="nil"/>
            </w:tcBorders>
            <w:vAlign w:val="bottom"/>
          </w:tcPr>
          <w:p w14:paraId="361D73B0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  <w:r w:rsidRPr="00230252">
              <w:rPr>
                <w:b/>
                <w:bCs/>
                <w:sz w:val="20"/>
                <w:szCs w:val="20"/>
              </w:rPr>
              <w:t>Név: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bottom"/>
          </w:tcPr>
          <w:p w14:paraId="22EBE727" w14:textId="77777777" w:rsidR="00080E0B" w:rsidRPr="00230252" w:rsidRDefault="00080E0B" w:rsidP="00E00E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F9032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1B9D84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Törvényes képviselő</w:t>
            </w:r>
            <w:r w:rsidRPr="00FD4312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FD4312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gyám: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69223" w14:textId="77777777" w:rsidR="00080E0B" w:rsidRPr="00230252" w:rsidRDefault="00080E0B" w:rsidP="00E00E66">
            <w:pPr>
              <w:rPr>
                <w:sz w:val="20"/>
                <w:szCs w:val="20"/>
              </w:rPr>
            </w:pPr>
          </w:p>
        </w:tc>
      </w:tr>
      <w:tr w:rsidR="00080E0B" w:rsidRPr="00230252" w14:paraId="55279C01" w14:textId="77777777" w:rsidTr="00E00E66">
        <w:trPr>
          <w:trHeight w:hRule="exact" w:val="397"/>
        </w:trPr>
        <w:tc>
          <w:tcPr>
            <w:tcW w:w="2411" w:type="dxa"/>
            <w:tcBorders>
              <w:right w:val="nil"/>
            </w:tcBorders>
            <w:vAlign w:val="bottom"/>
          </w:tcPr>
          <w:p w14:paraId="580F6F4E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  <w:r w:rsidRPr="00230252">
              <w:rPr>
                <w:b/>
                <w:bCs/>
                <w:sz w:val="20"/>
                <w:szCs w:val="20"/>
              </w:rPr>
              <w:t>Születési hely, idő: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bottom"/>
          </w:tcPr>
          <w:p w14:paraId="632DF6B9" w14:textId="77777777" w:rsidR="00080E0B" w:rsidRPr="00230252" w:rsidRDefault="00080E0B" w:rsidP="00E00E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F0CEB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7F7AEC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  <w:r w:rsidRPr="00230252">
              <w:rPr>
                <w:b/>
                <w:bCs/>
                <w:sz w:val="20"/>
                <w:szCs w:val="20"/>
              </w:rPr>
              <w:t>TAJ szám*: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B8AC5" w14:textId="77777777" w:rsidR="00080E0B" w:rsidRPr="00230252" w:rsidRDefault="00080E0B" w:rsidP="00E00E66">
            <w:pPr>
              <w:rPr>
                <w:sz w:val="20"/>
                <w:szCs w:val="20"/>
              </w:rPr>
            </w:pPr>
          </w:p>
        </w:tc>
      </w:tr>
      <w:tr w:rsidR="00080E0B" w:rsidRPr="00230252" w14:paraId="5EA761F9" w14:textId="77777777" w:rsidTr="00E00E66">
        <w:trPr>
          <w:trHeight w:hRule="exact" w:val="397"/>
        </w:trPr>
        <w:tc>
          <w:tcPr>
            <w:tcW w:w="2411" w:type="dxa"/>
            <w:tcBorders>
              <w:right w:val="nil"/>
            </w:tcBorders>
            <w:vAlign w:val="bottom"/>
          </w:tcPr>
          <w:p w14:paraId="6B98B68A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  <w:r w:rsidRPr="00230252">
              <w:rPr>
                <w:b/>
                <w:bCs/>
                <w:sz w:val="20"/>
                <w:szCs w:val="20"/>
              </w:rPr>
              <w:t>Anyja neve: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bottom"/>
          </w:tcPr>
          <w:p w14:paraId="5C9FC6B7" w14:textId="77777777" w:rsidR="00080E0B" w:rsidRPr="00230252" w:rsidRDefault="00080E0B" w:rsidP="00E00E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3A9C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B07499" w14:textId="54FC72E6" w:rsidR="00080E0B" w:rsidRPr="00230252" w:rsidRDefault="00C83563" w:rsidP="00E00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Lakcím </w:t>
            </w:r>
            <w:r w:rsidR="00CF565E">
              <w:rPr>
                <w:b/>
                <w:bCs/>
                <w:sz w:val="20"/>
                <w:szCs w:val="20"/>
              </w:rPr>
              <w:t>1</w:t>
            </w:r>
            <w:r w:rsidR="003C677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5EA38" w14:textId="77777777" w:rsidR="00080E0B" w:rsidRPr="00230252" w:rsidRDefault="00080E0B" w:rsidP="00E00E66">
            <w:pPr>
              <w:rPr>
                <w:sz w:val="20"/>
                <w:szCs w:val="20"/>
              </w:rPr>
            </w:pPr>
          </w:p>
        </w:tc>
      </w:tr>
      <w:tr w:rsidR="00080E0B" w:rsidRPr="00230252" w14:paraId="01148863" w14:textId="77777777" w:rsidTr="00E00E66">
        <w:trPr>
          <w:trHeight w:hRule="exact" w:val="397"/>
        </w:trPr>
        <w:tc>
          <w:tcPr>
            <w:tcW w:w="2411" w:type="dxa"/>
            <w:tcBorders>
              <w:right w:val="nil"/>
            </w:tcBorders>
            <w:vAlign w:val="bottom"/>
          </w:tcPr>
          <w:p w14:paraId="56668292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  <w:r w:rsidRPr="00230252">
              <w:rPr>
                <w:b/>
                <w:bCs/>
                <w:sz w:val="20"/>
                <w:szCs w:val="20"/>
              </w:rPr>
              <w:t>Telefonszáma: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bottom"/>
          </w:tcPr>
          <w:p w14:paraId="35ABF135" w14:textId="77777777" w:rsidR="00080E0B" w:rsidRPr="00230252" w:rsidRDefault="00080E0B" w:rsidP="00E00E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153C0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06A9E4" w14:textId="73D0C488" w:rsidR="00080E0B" w:rsidRPr="00230252" w:rsidRDefault="00C83563" w:rsidP="00E00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Lakcím </w:t>
            </w:r>
            <w:r w:rsidR="00CF565E">
              <w:rPr>
                <w:b/>
                <w:bCs/>
                <w:sz w:val="20"/>
                <w:szCs w:val="20"/>
              </w:rPr>
              <w:t>2</w:t>
            </w:r>
            <w:r w:rsidR="003C677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0720E" w14:textId="77777777" w:rsidR="00080E0B" w:rsidRPr="00230252" w:rsidRDefault="00080E0B" w:rsidP="00E00E66">
            <w:pPr>
              <w:rPr>
                <w:sz w:val="20"/>
                <w:szCs w:val="20"/>
              </w:rPr>
            </w:pPr>
          </w:p>
        </w:tc>
      </w:tr>
      <w:tr w:rsidR="00080E0B" w:rsidRPr="00230252" w14:paraId="531BEF12" w14:textId="77777777" w:rsidTr="00E00E66">
        <w:trPr>
          <w:trHeight w:hRule="exact" w:val="397"/>
        </w:trPr>
        <w:tc>
          <w:tcPr>
            <w:tcW w:w="2411" w:type="dxa"/>
            <w:tcBorders>
              <w:right w:val="nil"/>
            </w:tcBorders>
            <w:vAlign w:val="bottom"/>
          </w:tcPr>
          <w:p w14:paraId="0BC0F6D7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  <w:r w:rsidRPr="00230252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bottom"/>
          </w:tcPr>
          <w:p w14:paraId="04CA446B" w14:textId="77777777" w:rsidR="00080E0B" w:rsidRPr="00230252" w:rsidRDefault="00080E0B" w:rsidP="00E00E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F5F39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E5058F" w14:textId="77777777" w:rsidR="00080E0B" w:rsidRPr="00230252" w:rsidRDefault="00080E0B" w:rsidP="00E00E66">
            <w:pPr>
              <w:rPr>
                <w:b/>
                <w:bCs/>
                <w:sz w:val="20"/>
                <w:szCs w:val="20"/>
              </w:rPr>
            </w:pPr>
            <w:r w:rsidRPr="00230252">
              <w:rPr>
                <w:b/>
                <w:bCs/>
                <w:sz w:val="20"/>
                <w:szCs w:val="20"/>
              </w:rPr>
              <w:t>Mintavétel ideje (óra, perc):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2F3B3" w14:textId="77777777" w:rsidR="00080E0B" w:rsidRPr="00230252" w:rsidRDefault="00080E0B" w:rsidP="00E00E66">
            <w:pPr>
              <w:rPr>
                <w:sz w:val="20"/>
                <w:szCs w:val="20"/>
              </w:rPr>
            </w:pPr>
          </w:p>
        </w:tc>
      </w:tr>
    </w:tbl>
    <w:p w14:paraId="71AF6598" w14:textId="77777777" w:rsidR="00080E0B" w:rsidRPr="00822987" w:rsidRDefault="00080E0B" w:rsidP="00080E0B">
      <w:pPr>
        <w:spacing w:after="0"/>
        <w:ind w:left="-425"/>
        <w:jc w:val="center"/>
        <w:rPr>
          <w:i/>
          <w:iCs/>
          <w:sz w:val="6"/>
          <w:szCs w:val="6"/>
        </w:rPr>
      </w:pPr>
    </w:p>
    <w:p w14:paraId="70D9732C" w14:textId="77777777" w:rsidR="00080E0B" w:rsidRPr="00080E0B" w:rsidRDefault="00080E0B" w:rsidP="00080E0B">
      <w:pPr>
        <w:spacing w:after="60" w:line="240" w:lineRule="auto"/>
        <w:ind w:left="-425"/>
        <w:jc w:val="center"/>
        <w:rPr>
          <w:i/>
          <w:iCs/>
          <w:sz w:val="19"/>
          <w:szCs w:val="19"/>
        </w:rPr>
      </w:pPr>
      <w:r w:rsidRPr="00822987">
        <w:rPr>
          <w:i/>
          <w:iCs/>
          <w:sz w:val="19"/>
          <w:szCs w:val="19"/>
        </w:rPr>
        <w:t>(*Amennyiben nem rendelkezik TAJ számmal az EU-kártya száma, nem EU-országból származó betege</w:t>
      </w:r>
      <w:r>
        <w:rPr>
          <w:i/>
          <w:iCs/>
          <w:sz w:val="19"/>
          <w:szCs w:val="19"/>
        </w:rPr>
        <w:t>k esetén útlevélszám írandó be.</w:t>
      </w:r>
    </w:p>
    <w:p w14:paraId="61246208" w14:textId="77777777" w:rsidR="00080E0B" w:rsidRPr="009A4C2F" w:rsidRDefault="00080E0B" w:rsidP="00080E0B">
      <w:pPr>
        <w:spacing w:after="0" w:line="240" w:lineRule="auto"/>
        <w:ind w:left="-426"/>
        <w:jc w:val="both"/>
        <w:rPr>
          <w:rFonts w:ascii="Arial" w:eastAsia="Arial" w:hAnsi="Arial" w:cs="Arial"/>
          <w:sz w:val="20"/>
          <w:szCs w:val="20"/>
        </w:rPr>
      </w:pPr>
      <w:r w:rsidRPr="009A4C2F">
        <w:rPr>
          <w:rFonts w:ascii="Arial" w:eastAsia="Arial" w:hAnsi="Arial" w:cs="Arial"/>
          <w:sz w:val="20"/>
          <w:szCs w:val="20"/>
        </w:rPr>
        <w:t xml:space="preserve">Nyilatkozom, hogy a mintaadás előtt megfelelő tájékoztatást kaptam, a csatolt </w:t>
      </w:r>
      <w:r>
        <w:rPr>
          <w:rFonts w:ascii="Arial" w:eastAsia="Arial" w:hAnsi="Arial" w:cs="Arial"/>
          <w:sz w:val="20"/>
          <w:szCs w:val="20"/>
        </w:rPr>
        <w:t>beteg</w:t>
      </w:r>
      <w:r w:rsidRPr="009A4C2F">
        <w:rPr>
          <w:rFonts w:ascii="Arial" w:eastAsia="Arial" w:hAnsi="Arial" w:cs="Arial"/>
          <w:sz w:val="20"/>
          <w:szCs w:val="20"/>
        </w:rPr>
        <w:t>tájékoztatót elolvastam, megértettem, a mintavételi útmutató előírásait megismertem és betartom. Telefonon kérdéseket tehettem fel és ezekre a felvilágosítást adó számomra kielégítő és érthető válaszokat adott.</w:t>
      </w:r>
    </w:p>
    <w:p w14:paraId="4BD1C145" w14:textId="77777777" w:rsidR="00080E0B" w:rsidRPr="00A938BA" w:rsidRDefault="00080E0B" w:rsidP="00080E0B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p w14:paraId="48F05147" w14:textId="77777777" w:rsidR="00080E0B" w:rsidRPr="009A4C2F" w:rsidRDefault="00080E0B" w:rsidP="00080E0B">
      <w:pPr>
        <w:spacing w:after="0" w:line="240" w:lineRule="auto"/>
        <w:ind w:left="-426"/>
        <w:jc w:val="both"/>
        <w:rPr>
          <w:rFonts w:ascii="Arial" w:eastAsia="Arial" w:hAnsi="Arial" w:cs="Arial"/>
          <w:sz w:val="20"/>
          <w:szCs w:val="20"/>
        </w:rPr>
      </w:pPr>
      <w:r w:rsidRPr="009A4C2F">
        <w:rPr>
          <w:rFonts w:ascii="Arial" w:eastAsia="Arial" w:hAnsi="Arial" w:cs="Arial"/>
          <w:sz w:val="20"/>
          <w:szCs w:val="20"/>
        </w:rPr>
        <w:t>Hozzájárulok ahhoz, hogy a levett mintából előszűrés céljából a SARS-CoV-2 vizsgálatot elvégezzék, a mintámat, a személyazonosító adataimat, illetve a vizsgálattal kapott adatokat együttesen, a vonatkozó adatvédelmi jogszabályok követelményeinek megfelelően kezeljék.</w:t>
      </w:r>
    </w:p>
    <w:p w14:paraId="466AE922" w14:textId="77777777" w:rsidR="00080E0B" w:rsidRPr="00A938BA" w:rsidRDefault="00080E0B" w:rsidP="00080E0B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p w14:paraId="0E7E9D1D" w14:textId="77777777" w:rsidR="00080E0B" w:rsidRPr="009A4C2F" w:rsidRDefault="00080E0B" w:rsidP="00080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6147">
        <w:rPr>
          <w:rFonts w:ascii="Arial" w:eastAsia="Arial" w:hAnsi="Arial" w:cs="Arial"/>
          <w:color w:val="000000"/>
          <w:sz w:val="20"/>
          <w:szCs w:val="20"/>
        </w:rPr>
        <w:t>Megértettem, hogy a vizsgálati eredményt a portal.neumannlabs.com weboldalon érhetem el, az általam itt megadott e-mail címmel regisztrálva. Tudomásul veszem, hogy az interneten történő adatközlés a fenti biztonsági intézkedések mellett is kockázatokkal jár</w:t>
      </w:r>
      <w:r w:rsidRPr="009A4C2F">
        <w:rPr>
          <w:rFonts w:ascii="Arial" w:eastAsia="Arial" w:hAnsi="Arial" w:cs="Arial"/>
          <w:sz w:val="20"/>
          <w:szCs w:val="20"/>
        </w:rPr>
        <w:t>, amelyre az Adatkezelőnek nincs befolyása. A fenti kockázatot elfogadom.</w:t>
      </w:r>
    </w:p>
    <w:p w14:paraId="2A5E1A42" w14:textId="77777777" w:rsidR="00080E0B" w:rsidRPr="00A938BA" w:rsidRDefault="00080E0B" w:rsidP="00080E0B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p w14:paraId="77221CB5" w14:textId="77777777" w:rsidR="00080E0B" w:rsidRPr="00B06147" w:rsidRDefault="00080E0B" w:rsidP="00080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4C2F">
        <w:rPr>
          <w:rFonts w:ascii="Arial" w:eastAsia="Arial" w:hAnsi="Arial" w:cs="Arial"/>
          <w:color w:val="000000"/>
          <w:sz w:val="20"/>
          <w:szCs w:val="20"/>
        </w:rPr>
        <w:t xml:space="preserve">Vállalom, hogy pozitív eredmény esetén háziorvosomat soron kívül értesítem és követem a hivatalos járványügyi protokollnak megfelelő utasításokat. Tudomásul veszem, hogy pozitív eredmény esetén az adataimat az aktuális érvényes EMMI kézikönyv, NNK eljárásrend és WHO </w:t>
      </w:r>
      <w:proofErr w:type="spellStart"/>
      <w:r w:rsidRPr="009A4C2F">
        <w:rPr>
          <w:rFonts w:ascii="Arial" w:eastAsia="Arial" w:hAnsi="Arial" w:cs="Arial"/>
          <w:color w:val="000000"/>
          <w:sz w:val="20"/>
          <w:szCs w:val="20"/>
        </w:rPr>
        <w:t>guideline</w:t>
      </w:r>
      <w:proofErr w:type="spellEnd"/>
      <w:r w:rsidRPr="009A4C2F">
        <w:rPr>
          <w:rFonts w:ascii="Arial" w:eastAsia="Arial" w:hAnsi="Arial" w:cs="Arial"/>
          <w:color w:val="000000"/>
          <w:sz w:val="20"/>
          <w:szCs w:val="20"/>
        </w:rPr>
        <w:t xml:space="preserve"> alapján jogszabályi kötelezettségnek megfelelően kezelik és továbbítják.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06147">
        <w:rPr>
          <w:rFonts w:ascii="Arial" w:eastAsia="Arial" w:hAnsi="Arial" w:cs="Arial"/>
          <w:color w:val="000000"/>
          <w:sz w:val="20"/>
          <w:szCs w:val="20"/>
        </w:rPr>
        <w:t xml:space="preserve">Tudomásul veszem, hogy a mintám vizsgálatát a NEUMANN Diagnosztikai Laboratórium végzi. Hozzájárulok, hogy az </w:t>
      </w:r>
      <w:proofErr w:type="spellStart"/>
      <w:r w:rsidRPr="00B06147">
        <w:rPr>
          <w:rFonts w:ascii="Arial" w:eastAsia="Arial" w:hAnsi="Arial" w:cs="Arial"/>
          <w:color w:val="000000"/>
          <w:sz w:val="20"/>
          <w:szCs w:val="20"/>
        </w:rPr>
        <w:t>anonimizált</w:t>
      </w:r>
      <w:proofErr w:type="spellEnd"/>
      <w:r w:rsidRPr="00B06147">
        <w:rPr>
          <w:rFonts w:ascii="Arial" w:eastAsia="Arial" w:hAnsi="Arial" w:cs="Arial"/>
          <w:color w:val="000000"/>
          <w:sz w:val="20"/>
          <w:szCs w:val="20"/>
        </w:rPr>
        <w:t xml:space="preserve"> mintám és adataim az adatvédelmi szabályoknak megfelelően, diagnosztikai és epidemiológiai célú kutatás-fejlesztési projektben felhasználásra kerülhetnek.</w:t>
      </w:r>
    </w:p>
    <w:p w14:paraId="72B43793" w14:textId="77777777" w:rsidR="00080E0B" w:rsidRPr="00A938BA" w:rsidRDefault="00080E0B" w:rsidP="00080E0B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p w14:paraId="06C4EAEE" w14:textId="77777777" w:rsidR="00080E0B" w:rsidRPr="009A4C2F" w:rsidRDefault="00080E0B" w:rsidP="00080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4C2F">
        <w:rPr>
          <w:rFonts w:ascii="Arial" w:eastAsia="Arial" w:hAnsi="Arial" w:cs="Arial"/>
          <w:sz w:val="20"/>
          <w:szCs w:val="20"/>
        </w:rPr>
        <w:t>Tudomásul veszem, hogy</w:t>
      </w:r>
      <w:r w:rsidRPr="009A4C2F">
        <w:rPr>
          <w:rFonts w:ascii="Arial" w:eastAsia="Arial" w:hAnsi="Arial" w:cs="Arial"/>
          <w:color w:val="000000"/>
          <w:sz w:val="20"/>
          <w:szCs w:val="20"/>
        </w:rPr>
        <w:t xml:space="preserve"> részletes tájékoztatás a minta- és adattovábbításról megtalálható a </w:t>
      </w:r>
      <w:r w:rsidRPr="009A4C2F">
        <w:rPr>
          <w:rFonts w:ascii="Arial" w:eastAsia="Arial" w:hAnsi="Arial" w:cs="Arial"/>
          <w:sz w:val="20"/>
          <w:szCs w:val="20"/>
        </w:rPr>
        <w:t>Mintafeldolgozó honlapján</w:t>
      </w:r>
      <w:r w:rsidRPr="009A4C2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06147">
        <w:rPr>
          <w:rFonts w:ascii="Arial" w:eastAsia="Arial" w:hAnsi="Arial" w:cs="Arial"/>
          <w:color w:val="000000"/>
          <w:sz w:val="20"/>
          <w:szCs w:val="20"/>
        </w:rPr>
        <w:t>(w</w:t>
      </w:r>
      <w:r w:rsidRPr="00B06147">
        <w:rPr>
          <w:rFonts w:ascii="Arial" w:eastAsia="Arial" w:hAnsi="Arial" w:cs="Arial"/>
          <w:sz w:val="20"/>
          <w:szCs w:val="20"/>
        </w:rPr>
        <w:t>ww.neumannlabs.com/adatvedelem).</w:t>
      </w:r>
    </w:p>
    <w:p w14:paraId="4B756EEC" w14:textId="77777777" w:rsidR="00080E0B" w:rsidRPr="00A938BA" w:rsidRDefault="00080E0B" w:rsidP="00080E0B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p w14:paraId="732D31FE" w14:textId="77777777" w:rsidR="00080E0B" w:rsidRPr="009A4C2F" w:rsidRDefault="00080E0B" w:rsidP="00080E0B">
      <w:pPr>
        <w:spacing w:after="0" w:line="240" w:lineRule="auto"/>
        <w:ind w:left="-426"/>
        <w:jc w:val="both"/>
        <w:rPr>
          <w:rFonts w:ascii="Arial" w:eastAsia="Arial" w:hAnsi="Arial" w:cs="Arial"/>
          <w:sz w:val="20"/>
          <w:szCs w:val="20"/>
        </w:rPr>
      </w:pPr>
      <w:r w:rsidRPr="009A4C2F">
        <w:rPr>
          <w:rFonts w:ascii="Arial" w:eastAsia="Arial" w:hAnsi="Arial" w:cs="Arial"/>
          <w:sz w:val="20"/>
          <w:szCs w:val="20"/>
        </w:rPr>
        <w:t>Tudomásul veszem, hogy bármely adat hiányában a vizsgálatot a Minta feldolgozójának nem áll módjában elvégezni.</w:t>
      </w:r>
    </w:p>
    <w:p w14:paraId="27E3CA72" w14:textId="77777777" w:rsidR="00080E0B" w:rsidRPr="00A938BA" w:rsidRDefault="00080E0B" w:rsidP="00080E0B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p w14:paraId="68DA43EA" w14:textId="77777777" w:rsidR="00080E0B" w:rsidRPr="00A938BA" w:rsidRDefault="00080E0B" w:rsidP="00080E0B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p w14:paraId="186C534F" w14:textId="77777777" w:rsidR="00080E0B" w:rsidRPr="009A4C2F" w:rsidRDefault="00080E0B" w:rsidP="00080E0B">
      <w:pPr>
        <w:spacing w:after="0" w:line="240" w:lineRule="auto"/>
        <w:ind w:left="-426"/>
        <w:jc w:val="both"/>
        <w:rPr>
          <w:rFonts w:ascii="Arial" w:eastAsia="Arial" w:hAnsi="Arial" w:cs="Arial"/>
          <w:sz w:val="20"/>
          <w:szCs w:val="20"/>
        </w:rPr>
      </w:pPr>
      <w:r w:rsidRPr="009A4C2F">
        <w:rPr>
          <w:rFonts w:ascii="Arial" w:eastAsia="Arial" w:hAnsi="Arial" w:cs="Arial"/>
          <w:sz w:val="20"/>
          <w:szCs w:val="20"/>
        </w:rPr>
        <w:t>Kijelentem, hogy beleegyezésemet önként, befolyástól mentesen adom, annak tudatában, hogy az bármikor szóban vagy írásban indoklás nélkül visszavonható.</w:t>
      </w:r>
    </w:p>
    <w:p w14:paraId="0EC4B560" w14:textId="77777777" w:rsidR="00080E0B" w:rsidRPr="00A938BA" w:rsidRDefault="00080E0B" w:rsidP="00080E0B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p w14:paraId="2B6ED5C7" w14:textId="77777777" w:rsidR="00080E0B" w:rsidRDefault="00080E0B" w:rsidP="00080E0B">
      <w:pPr>
        <w:spacing w:after="0" w:line="240" w:lineRule="auto"/>
        <w:ind w:left="-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Aláírásommal igazolom, hogy az Adatkezelő adatkezelési szabályzatát* elolvastam, annak tartalmát elfogadom. </w:t>
      </w:r>
    </w:p>
    <w:p w14:paraId="560C0C15" w14:textId="77777777" w:rsidR="00080E0B" w:rsidRPr="00C76AFA" w:rsidRDefault="00080E0B" w:rsidP="00080E0B">
      <w:pPr>
        <w:spacing w:after="0" w:line="240" w:lineRule="auto"/>
        <w:ind w:left="-426"/>
        <w:jc w:val="both"/>
        <w:rPr>
          <w:i/>
          <w:iCs/>
          <w:sz w:val="19"/>
          <w:szCs w:val="19"/>
        </w:rPr>
      </w:pPr>
      <w:r w:rsidRPr="00C76AFA">
        <w:rPr>
          <w:i/>
          <w:iCs/>
          <w:sz w:val="19"/>
          <w:szCs w:val="19"/>
        </w:rPr>
        <w:t xml:space="preserve">* Az adatkezelési tájékoztató megtalálható a </w:t>
      </w:r>
      <w:hyperlink r:id="rId7" w:history="1">
        <w:r w:rsidRPr="00C76AFA">
          <w:rPr>
            <w:i/>
            <w:iCs/>
            <w:sz w:val="19"/>
            <w:szCs w:val="19"/>
          </w:rPr>
          <w:t>www.neumannlabs.com/adatvedelem</w:t>
        </w:r>
      </w:hyperlink>
      <w:r w:rsidRPr="00C76AFA">
        <w:rPr>
          <w:i/>
          <w:iCs/>
          <w:sz w:val="19"/>
          <w:szCs w:val="19"/>
        </w:rPr>
        <w:t xml:space="preserve"> oldalon.</w:t>
      </w:r>
    </w:p>
    <w:p w14:paraId="273864D6" w14:textId="77777777" w:rsidR="00080E0B" w:rsidRDefault="00080E0B" w:rsidP="00080E0B">
      <w:pPr>
        <w:spacing w:after="0" w:line="240" w:lineRule="auto"/>
        <w:ind w:left="-426"/>
        <w:jc w:val="both"/>
        <w:rPr>
          <w:rFonts w:ascii="Arial" w:eastAsia="Arial" w:hAnsi="Arial" w:cs="Arial"/>
          <w:sz w:val="20"/>
          <w:szCs w:val="20"/>
        </w:rPr>
      </w:pPr>
    </w:p>
    <w:p w14:paraId="39812C1A" w14:textId="77777777" w:rsidR="00080E0B" w:rsidRPr="00080E0B" w:rsidRDefault="00080E0B" w:rsidP="00080E0B">
      <w:pPr>
        <w:spacing w:after="0" w:line="240" w:lineRule="auto"/>
        <w:ind w:left="-426"/>
        <w:jc w:val="both"/>
        <w:rPr>
          <w:rFonts w:ascii="Arial" w:eastAsia="Arial" w:hAnsi="Arial" w:cs="Arial"/>
          <w:sz w:val="20"/>
          <w:szCs w:val="24"/>
        </w:rPr>
      </w:pPr>
      <w:r w:rsidRPr="00080E0B">
        <w:rPr>
          <w:rFonts w:ascii="Arial" w:eastAsia="Arial" w:hAnsi="Arial" w:cs="Arial"/>
          <w:sz w:val="18"/>
          <w:szCs w:val="20"/>
        </w:rPr>
        <w:t>Büntetőjogi felelősségem tudatában nyilatkozom arról, hogy a fent megadott adatok a valóságnak megfelelnek.</w:t>
      </w:r>
      <w:r w:rsidRPr="00080E0B">
        <w:rPr>
          <w:rFonts w:ascii="Arial" w:eastAsia="Arial" w:hAnsi="Arial" w:cs="Arial"/>
          <w:sz w:val="20"/>
          <w:szCs w:val="24"/>
        </w:rPr>
        <w:t xml:space="preserve"> </w:t>
      </w:r>
    </w:p>
    <w:p w14:paraId="2B85AA6D" w14:textId="77777777" w:rsidR="00080E0B" w:rsidRPr="005B0373" w:rsidRDefault="00080E0B" w:rsidP="00080E0B">
      <w:pPr>
        <w:spacing w:after="0" w:line="240" w:lineRule="auto"/>
        <w:ind w:left="-426"/>
        <w:jc w:val="both"/>
        <w:rPr>
          <w:rFonts w:ascii="Arial" w:eastAsia="Arial" w:hAnsi="Arial" w:cs="Arial"/>
          <w:szCs w:val="24"/>
        </w:rPr>
      </w:pPr>
    </w:p>
    <w:p w14:paraId="41E7EE4A" w14:textId="77777777" w:rsidR="00080E0B" w:rsidRDefault="00080E0B" w:rsidP="00080E0B">
      <w:pPr>
        <w:tabs>
          <w:tab w:val="left" w:pos="1743"/>
        </w:tabs>
        <w:spacing w:after="0"/>
        <w:rPr>
          <w:sz w:val="19"/>
          <w:szCs w:val="19"/>
        </w:rPr>
      </w:pPr>
    </w:p>
    <w:tbl>
      <w:tblPr>
        <w:tblStyle w:val="Rcsostblzat"/>
        <w:tblW w:w="0" w:type="auto"/>
        <w:tblInd w:w="-4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1843"/>
        <w:gridCol w:w="850"/>
        <w:gridCol w:w="2127"/>
        <w:gridCol w:w="3480"/>
        <w:gridCol w:w="236"/>
      </w:tblGrid>
      <w:tr w:rsidR="00080E0B" w14:paraId="33870431" w14:textId="77777777" w:rsidTr="00E00E66">
        <w:trPr>
          <w:trHeight w:hRule="exact" w:val="284"/>
        </w:trPr>
        <w:tc>
          <w:tcPr>
            <w:tcW w:w="568" w:type="dxa"/>
            <w:tcBorders>
              <w:bottom w:val="nil"/>
            </w:tcBorders>
            <w:vAlign w:val="bottom"/>
          </w:tcPr>
          <w:p w14:paraId="79AD6CCA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Kelt.:</w:t>
            </w:r>
          </w:p>
        </w:tc>
        <w:tc>
          <w:tcPr>
            <w:tcW w:w="1843" w:type="dxa"/>
            <w:vAlign w:val="bottom"/>
          </w:tcPr>
          <w:p w14:paraId="0D336E68" w14:textId="77777777" w:rsidR="00080E0B" w:rsidRDefault="00080E0B" w:rsidP="00E00E66">
            <w:pPr>
              <w:tabs>
                <w:tab w:val="left" w:pos="1743"/>
              </w:tabs>
              <w:jc w:val="right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091F4A5A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, 2020.</w:t>
            </w:r>
          </w:p>
        </w:tc>
        <w:tc>
          <w:tcPr>
            <w:tcW w:w="2127" w:type="dxa"/>
            <w:vAlign w:val="bottom"/>
          </w:tcPr>
          <w:p w14:paraId="10740583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bottom w:val="nil"/>
            </w:tcBorders>
            <w:vAlign w:val="bottom"/>
          </w:tcPr>
          <w:p w14:paraId="4E042983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10B965E7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</w:p>
        </w:tc>
      </w:tr>
    </w:tbl>
    <w:p w14:paraId="5DB8AB42" w14:textId="77777777" w:rsidR="00080E0B" w:rsidRDefault="00080E0B" w:rsidP="00080E0B">
      <w:pPr>
        <w:tabs>
          <w:tab w:val="left" w:pos="1743"/>
        </w:tabs>
        <w:rPr>
          <w:sz w:val="19"/>
          <w:szCs w:val="19"/>
        </w:rPr>
      </w:pP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540"/>
        <w:gridCol w:w="2483"/>
        <w:gridCol w:w="799"/>
        <w:gridCol w:w="1838"/>
        <w:gridCol w:w="3836"/>
      </w:tblGrid>
      <w:tr w:rsidR="00080E0B" w14:paraId="26B8C0D9" w14:textId="77777777" w:rsidTr="00E00E66">
        <w:trPr>
          <w:trHeight w:hRule="exact" w:val="1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08EEC8E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615B470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1703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579E43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5F57D1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</w:p>
        </w:tc>
      </w:tr>
      <w:tr w:rsidR="00080E0B" w14:paraId="28989AB6" w14:textId="77777777" w:rsidTr="00E00E66">
        <w:trPr>
          <w:trHeight w:hRule="exact"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8CB0918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4028A367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17D68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04FA91" w14:textId="77777777" w:rsidR="00080E0B" w:rsidRDefault="00080E0B" w:rsidP="00E00E66">
            <w:pPr>
              <w:tabs>
                <w:tab w:val="left" w:pos="1743"/>
              </w:tabs>
              <w:rPr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0D42D9" w14:textId="77777777" w:rsidR="00080E0B" w:rsidRPr="00FB1A60" w:rsidRDefault="00080E0B" w:rsidP="00E00E66">
            <w:pPr>
              <w:tabs>
                <w:tab w:val="left" w:pos="1743"/>
              </w:tabs>
              <w:jc w:val="center"/>
              <w:rPr>
                <w:sz w:val="6"/>
                <w:szCs w:val="6"/>
              </w:rPr>
            </w:pPr>
          </w:p>
          <w:p w14:paraId="0DCA6530" w14:textId="77777777" w:rsidR="00080E0B" w:rsidRDefault="00080E0B" w:rsidP="00E00E66">
            <w:pPr>
              <w:tabs>
                <w:tab w:val="left" w:pos="1743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aláírás*</w:t>
            </w:r>
          </w:p>
        </w:tc>
      </w:tr>
    </w:tbl>
    <w:p w14:paraId="0173FB68" w14:textId="77777777" w:rsidR="00080E0B" w:rsidRDefault="00080E0B" w:rsidP="00080E0B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14:paraId="59807C9A" w14:textId="77777777" w:rsidR="00080E0B" w:rsidRPr="005B0373" w:rsidRDefault="00080E0B" w:rsidP="00080E0B">
      <w:pPr>
        <w:spacing w:after="0" w:line="240" w:lineRule="auto"/>
        <w:ind w:left="-426"/>
        <w:jc w:val="both"/>
        <w:rPr>
          <w:rFonts w:ascii="Arial" w:eastAsia="Arial" w:hAnsi="Arial" w:cs="Arial"/>
          <w:i/>
          <w:sz w:val="16"/>
          <w:szCs w:val="16"/>
        </w:rPr>
      </w:pPr>
      <w:r w:rsidRPr="005B0373">
        <w:rPr>
          <w:rFonts w:ascii="Arial" w:eastAsia="Arial" w:hAnsi="Arial" w:cs="Arial"/>
          <w:i/>
          <w:sz w:val="16"/>
          <w:szCs w:val="16"/>
        </w:rPr>
        <w:t>*18 éven aluli személy esetén a hozzájárulást a törvényes képviselőnek kell megadni.</w:t>
      </w:r>
    </w:p>
    <w:p w14:paraId="31390626" w14:textId="506339F3" w:rsidR="00080E0B" w:rsidRDefault="00080E0B" w:rsidP="00080E0B">
      <w:pPr>
        <w:spacing w:after="0" w:line="240" w:lineRule="auto"/>
        <w:ind w:left="-426"/>
        <w:jc w:val="both"/>
        <w:rPr>
          <w:rFonts w:ascii="Arial" w:eastAsia="Arial" w:hAnsi="Arial" w:cs="Arial"/>
          <w:i/>
          <w:sz w:val="16"/>
          <w:szCs w:val="16"/>
        </w:rPr>
      </w:pPr>
      <w:r w:rsidRPr="005B0373">
        <w:rPr>
          <w:rFonts w:ascii="Arial" w:eastAsia="Arial" w:hAnsi="Arial" w:cs="Arial"/>
          <w:i/>
          <w:sz w:val="16"/>
          <w:szCs w:val="16"/>
        </w:rPr>
        <w:t>(Cselekvőképtelen kiskorú, vagy egyébként cselekvőképtelen személy esetén a hozzájárulást törvényes képviselője adhatja meg. Korlátozottan cselekvőképes kiskorú, vagy e tekintetben egyébként korlátozottan cselekvőképes személy hozzájárulása törvényes képviselőjének hozzájárulásával együtt érvényes.</w:t>
      </w:r>
      <w:r>
        <w:rPr>
          <w:rFonts w:ascii="Arial" w:eastAsia="Arial" w:hAnsi="Arial" w:cs="Arial"/>
          <w:i/>
          <w:sz w:val="16"/>
          <w:szCs w:val="16"/>
        </w:rPr>
        <w:t>)</w:t>
      </w:r>
      <w:bookmarkEnd w:id="0"/>
    </w:p>
    <w:tbl>
      <w:tblPr>
        <w:tblStyle w:val="TableGrid"/>
        <w:tblW w:w="11417" w:type="dxa"/>
        <w:tblInd w:w="-1195" w:type="dxa"/>
        <w:tblCellMar>
          <w:left w:w="180" w:type="dxa"/>
          <w:bottom w:w="183" w:type="dxa"/>
          <w:right w:w="99" w:type="dxa"/>
        </w:tblCellMar>
        <w:tblLook w:val="04A0" w:firstRow="1" w:lastRow="0" w:firstColumn="1" w:lastColumn="0" w:noHBand="0" w:noVBand="1"/>
      </w:tblPr>
      <w:tblGrid>
        <w:gridCol w:w="11417"/>
      </w:tblGrid>
      <w:tr w:rsidR="00532B13" w14:paraId="1AC51812" w14:textId="77777777" w:rsidTr="00EF4D2D">
        <w:trPr>
          <w:trHeight w:val="16349"/>
        </w:trPr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56"/>
              <w:gridCol w:w="5804"/>
            </w:tblGrid>
            <w:tr w:rsidR="00A42937" w14:paraId="7CBB1835" w14:textId="77777777" w:rsidTr="00A42937">
              <w:trPr>
                <w:jc w:val="center"/>
              </w:trPr>
              <w:tc>
                <w:tcPr>
                  <w:tcW w:w="3256" w:type="dxa"/>
                </w:tcPr>
                <w:p w14:paraId="34390AC8" w14:textId="3A356848" w:rsidR="00A42937" w:rsidRDefault="00A42937" w:rsidP="00A42937">
                  <w:pPr>
                    <w:jc w:val="center"/>
                  </w:pPr>
                  <w:bookmarkStart w:id="1" w:name="_Hlk52119376"/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309CAAE2" wp14:editId="05545CDF">
                        <wp:extent cx="1911350" cy="780556"/>
                        <wp:effectExtent l="0" t="0" r="0" b="0"/>
                        <wp:docPr id="6" name="Kép 6" descr="A képen rajz, aláírás látható&#10;&#10;Automatikusan generált leírá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Kép 3" descr="A képen rajz, aláírás látható&#10;&#10;Automatikusan generált leírás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730" cy="786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04" w:type="dxa"/>
                </w:tcPr>
                <w:p w14:paraId="0B5F576D" w14:textId="77777777" w:rsidR="00A42937" w:rsidRDefault="00A42937" w:rsidP="00A42937">
                  <w:pPr>
                    <w:jc w:val="right"/>
                  </w:pPr>
                </w:p>
                <w:p w14:paraId="63A9AFFC" w14:textId="77777777" w:rsidR="00A42937" w:rsidRDefault="00A42937" w:rsidP="00A42937">
                  <w:pPr>
                    <w:jc w:val="right"/>
                  </w:pPr>
                  <w:r>
                    <w:t>Tel: 06 1 77 33333</w:t>
                  </w:r>
                </w:p>
                <w:p w14:paraId="7FD14A02" w14:textId="77777777" w:rsidR="00A42937" w:rsidRDefault="00515F88" w:rsidP="00A42937">
                  <w:pPr>
                    <w:jc w:val="right"/>
                  </w:pPr>
                  <w:hyperlink r:id="rId8" w:history="1">
                    <w:r w:rsidR="00A42937" w:rsidRPr="00CF7986">
                      <w:rPr>
                        <w:rStyle w:val="Hiperhivatkozs"/>
                      </w:rPr>
                      <w:t>www.emineo.hu</w:t>
                    </w:r>
                  </w:hyperlink>
                </w:p>
                <w:p w14:paraId="1B112B69" w14:textId="77777777" w:rsidR="00A42937" w:rsidRDefault="00A42937" w:rsidP="00A42937">
                  <w:pPr>
                    <w:jc w:val="right"/>
                  </w:pPr>
                  <w:r>
                    <w:t>1016 Budapest Hegyalja út 7-13</w:t>
                  </w:r>
                </w:p>
              </w:tc>
            </w:tr>
          </w:tbl>
          <w:p w14:paraId="07B40C0D" w14:textId="388FF318" w:rsidR="00532B13" w:rsidRDefault="00532B13" w:rsidP="00A42937">
            <w:pPr>
              <w:tabs>
                <w:tab w:val="center" w:pos="0"/>
                <w:tab w:val="center" w:pos="10182"/>
              </w:tabs>
              <w:spacing w:after="85"/>
              <w:jc w:val="center"/>
            </w:pPr>
            <w:r>
              <w:rPr>
                <w:b/>
                <w:sz w:val="36"/>
                <w:u w:val="single" w:color="31B2AD"/>
              </w:rPr>
              <w:t>TÁJÉKOZTATÓ</w:t>
            </w:r>
          </w:p>
          <w:p w14:paraId="213F0D84" w14:textId="0E6F1412" w:rsidR="00532B13" w:rsidRDefault="00532B13" w:rsidP="00A42937">
            <w:pPr>
              <w:spacing w:after="275"/>
              <w:jc w:val="center"/>
            </w:pPr>
            <w:r>
              <w:rPr>
                <w:b/>
                <w:sz w:val="32"/>
                <w:u w:val="single" w:color="31B2AD"/>
              </w:rPr>
              <w:t>Koronavírus (SARS-CoV-2) PCR vizsgálat céljából történő mintavételezéshez</w:t>
            </w:r>
          </w:p>
          <w:p w14:paraId="0AF63CAD" w14:textId="77777777" w:rsidR="00532B13" w:rsidRDefault="00532B13" w:rsidP="00EF4D2D">
            <w:r>
              <w:rPr>
                <w:b/>
                <w:color w:val="31B2AD"/>
              </w:rPr>
              <w:t>Vizsgálati anyag:</w:t>
            </w:r>
            <w:r>
              <w:t xml:space="preserve"> felső légúti váladék </w:t>
            </w:r>
          </w:p>
          <w:p w14:paraId="23826369" w14:textId="77777777" w:rsidR="00532B13" w:rsidRDefault="00532B13" w:rsidP="00EF4D2D">
            <w:pPr>
              <w:spacing w:line="239" w:lineRule="auto"/>
              <w:ind w:right="6856"/>
              <w:jc w:val="both"/>
            </w:pPr>
            <w:r>
              <w:rPr>
                <w:b/>
                <w:color w:val="31B2AD"/>
              </w:rPr>
              <w:t>A mintavétel helye:</w:t>
            </w:r>
            <w:r>
              <w:t xml:space="preserve"> orr -és garat nyálkahártyája </w:t>
            </w:r>
            <w:r>
              <w:rPr>
                <w:b/>
                <w:color w:val="31B2AD"/>
              </w:rPr>
              <w:t xml:space="preserve">A mintavételi szett tartalma: </w:t>
            </w:r>
          </w:p>
          <w:p w14:paraId="5C2C6D36" w14:textId="77777777" w:rsidR="00532B13" w:rsidRDefault="00532B13" w:rsidP="00532B13">
            <w:pPr>
              <w:numPr>
                <w:ilvl w:val="0"/>
                <w:numId w:val="1"/>
              </w:numPr>
              <w:ind w:hanging="360"/>
            </w:pPr>
            <w:r>
              <w:t xml:space="preserve">Steril mintavételi pálca </w:t>
            </w:r>
          </w:p>
          <w:p w14:paraId="2F66A80E" w14:textId="77777777" w:rsidR="00532B13" w:rsidRDefault="00532B13" w:rsidP="00532B13">
            <w:pPr>
              <w:numPr>
                <w:ilvl w:val="0"/>
                <w:numId w:val="1"/>
              </w:numPr>
              <w:ind w:hanging="360"/>
            </w:pPr>
            <w:r>
              <w:t xml:space="preserve">Speciális Stabilizáló </w:t>
            </w:r>
            <w:proofErr w:type="spellStart"/>
            <w:r>
              <w:t>Inaktiváló</w:t>
            </w:r>
            <w:proofErr w:type="spellEnd"/>
            <w:r>
              <w:t xml:space="preserve"> Médium (SIM) tartalmú cső, vonalkóddal ellátva </w:t>
            </w:r>
          </w:p>
          <w:p w14:paraId="1049E918" w14:textId="77777777" w:rsidR="00532B13" w:rsidRDefault="00532B13" w:rsidP="00EF4D2D">
            <w:r>
              <w:rPr>
                <w:b/>
                <w:color w:val="31B2AD"/>
              </w:rPr>
              <w:t>Mintaazonosítás:</w:t>
            </w:r>
            <w:r>
              <w:t xml:space="preserve"> levett mintát tartalmazó Stabilizáló </w:t>
            </w:r>
            <w:proofErr w:type="spellStart"/>
            <w:r>
              <w:t>Inaktiváló</w:t>
            </w:r>
            <w:proofErr w:type="spellEnd"/>
            <w:r>
              <w:t xml:space="preserve"> Médium tartalmú csövön lévő mintaazonosító vonalkód </w:t>
            </w:r>
          </w:p>
          <w:p w14:paraId="7E80068C" w14:textId="77777777" w:rsidR="00532B13" w:rsidRDefault="00532B13" w:rsidP="00EF4D2D">
            <w:r>
              <w:t xml:space="preserve"> </w:t>
            </w:r>
          </w:p>
          <w:p w14:paraId="108817FB" w14:textId="77777777" w:rsidR="00532B13" w:rsidRDefault="00532B13" w:rsidP="00EF4D2D">
            <w:r>
              <w:rPr>
                <w:b/>
                <w:color w:val="31B2AD"/>
              </w:rPr>
              <w:t xml:space="preserve">Mintavétel: </w:t>
            </w:r>
          </w:p>
          <w:p w14:paraId="500CBA0B" w14:textId="77777777" w:rsidR="00532B13" w:rsidRDefault="00532B13" w:rsidP="00EF4D2D">
            <w:pPr>
              <w:spacing w:line="239" w:lineRule="auto"/>
              <w:ind w:left="142"/>
              <w:jc w:val="both"/>
            </w:pPr>
            <w:r>
              <w:t xml:space="preserve">A minta minőségének szempontjából felső légúti minta esetén legelőnyösebb a reggeli mintavétel, mielőtt a beteg ételt vagy italt fogyasztott volna. </w:t>
            </w:r>
          </w:p>
          <w:p w14:paraId="134A2B3D" w14:textId="77777777" w:rsidR="00532B13" w:rsidRDefault="00532B13" w:rsidP="00EF4D2D">
            <w:pPr>
              <w:spacing w:line="239" w:lineRule="auto"/>
              <w:ind w:left="142" w:right="221"/>
              <w:jc w:val="both"/>
            </w:pPr>
            <w:r>
              <w:t xml:space="preserve">A hatékonyságot növeli, ha a beteg a mintavétel előtti 2 órában nem eszik-iszik, nem dohányzik, fogmosást és szájtoalettet nem végez. Szintén fontos a minta minőségének szempontjából, hogy </w:t>
            </w:r>
            <w:proofErr w:type="spellStart"/>
            <w:r>
              <w:t>orrtörlet</w:t>
            </w:r>
            <w:proofErr w:type="spellEnd"/>
            <w:r>
              <w:t xml:space="preserve"> vételekor a mintavevő pálcát magasan fel kell vezetni az orrüregbe.  </w:t>
            </w:r>
          </w:p>
          <w:p w14:paraId="1F698493" w14:textId="77777777" w:rsidR="00532B13" w:rsidRDefault="00532B13" w:rsidP="00EF4D2D">
            <w:pPr>
              <w:spacing w:after="240" w:line="239" w:lineRule="auto"/>
              <w:ind w:left="142"/>
              <w:jc w:val="both"/>
            </w:pPr>
            <w:r>
              <w:t xml:space="preserve">A mintavételhez frissen kibontott, száraz mintavételi pálca használandó. A pálcát </w:t>
            </w:r>
            <w:r>
              <w:rPr>
                <w:b/>
                <w:color w:val="FF0000"/>
                <w:u w:val="single" w:color="FF0000"/>
              </w:rPr>
              <w:t>TILOS</w:t>
            </w:r>
            <w:r>
              <w:t xml:space="preserve"> a mintavétel előtt belemártani a Stabilizáló </w:t>
            </w:r>
            <w:proofErr w:type="spellStart"/>
            <w:r>
              <w:t>Inaktiváló</w:t>
            </w:r>
            <w:proofErr w:type="spellEnd"/>
            <w:r>
              <w:t xml:space="preserve"> Médium oldatba, mivel az veszélyes anyagokat tartalmaz. </w:t>
            </w:r>
          </w:p>
          <w:p w14:paraId="2E0FC4D5" w14:textId="77777777" w:rsidR="00532B13" w:rsidRDefault="00532B13" w:rsidP="00EF4D2D">
            <w:pPr>
              <w:spacing w:after="120" w:line="239" w:lineRule="auto"/>
              <w:ind w:left="142" w:right="220"/>
              <w:jc w:val="both"/>
            </w:pPr>
            <w:r>
              <w:t xml:space="preserve">A mintavétel ritka esetekben kellemetlen lehet, öklendezéssel járhat, nagyon ritkán fájdalmas is lehet rövid ideig (néhány másodpercig). A vizsgálat közben a fej hirtelen mozdításától tartózkodni kell, mert a mintavevő eltörhet. Ez a jelenség csak nagyon ritkán következik be, a mintavevőt ilyenkor csipesszel lehet csak eltávolítani, ami kisebb kellemetlenséget okozhat. Az orr -és garat nyálkahártya a dörzsölés hatására átmenetileg vérezhet. </w:t>
            </w:r>
          </w:p>
          <w:p w14:paraId="2DFEF985" w14:textId="77777777" w:rsidR="00532B13" w:rsidRDefault="00532B13" w:rsidP="00EF4D2D">
            <w:pPr>
              <w:ind w:left="142" w:right="221"/>
              <w:jc w:val="both"/>
            </w:pPr>
            <w:r>
              <w:t xml:space="preserve">Amennyiben a páciens alvadásgátlót vagy </w:t>
            </w:r>
            <w:proofErr w:type="spellStart"/>
            <w:r>
              <w:t>trombocita</w:t>
            </w:r>
            <w:proofErr w:type="spellEnd"/>
            <w:r>
              <w:t xml:space="preserve"> </w:t>
            </w:r>
            <w:proofErr w:type="spellStart"/>
            <w:r>
              <w:t>aggregációt</w:t>
            </w:r>
            <w:proofErr w:type="spellEnd"/>
            <w:r>
              <w:t xml:space="preserve"> gátló gyógyszert szed, a mintavétel előtt jelezze azt. Ha a páciensnek rendszeresen visszatérő orrvérzése van kérjük, hívja fel erre a mintavevő egészségügyi szakember figyelmét, illetve az orvosnak jelezze ezt a mintavétel előtt. </w:t>
            </w:r>
          </w:p>
          <w:tbl>
            <w:tblPr>
              <w:tblStyle w:val="TableGrid"/>
              <w:tblW w:w="10490" w:type="dxa"/>
              <w:tblInd w:w="283" w:type="dxa"/>
              <w:tblCellMar>
                <w:left w:w="101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532B13" w14:paraId="5AA1DF55" w14:textId="77777777" w:rsidTr="00EF4D2D">
              <w:trPr>
                <w:trHeight w:val="2563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BBAB4"/>
                  <w:vAlign w:val="center"/>
                </w:tcPr>
                <w:p w14:paraId="29B72A80" w14:textId="77777777" w:rsidR="00532B13" w:rsidRDefault="00532B13" w:rsidP="00532B13">
                  <w:pPr>
                    <w:numPr>
                      <w:ilvl w:val="0"/>
                      <w:numId w:val="2"/>
                    </w:numPr>
                    <w:spacing w:after="98"/>
                  </w:pPr>
                  <w:r>
                    <w:rPr>
                      <w:color w:val="FFFFFF"/>
                    </w:rPr>
                    <w:t>A steril mintavételi pálca segítségével nyálkahártya-</w:t>
                  </w:r>
                  <w:proofErr w:type="spellStart"/>
                  <w:r>
                    <w:rPr>
                      <w:color w:val="FFFFFF"/>
                    </w:rPr>
                    <w:t>törletet</w:t>
                  </w:r>
                  <w:proofErr w:type="spellEnd"/>
                  <w:r>
                    <w:rPr>
                      <w:color w:val="FFFFFF"/>
                    </w:rPr>
                    <w:t xml:space="preserve"> veszünk a felső garat ívekről. </w:t>
                  </w:r>
                </w:p>
                <w:p w14:paraId="72E63967" w14:textId="77777777" w:rsidR="00532B13" w:rsidRDefault="00532B13" w:rsidP="00EF4D2D">
                  <w:pPr>
                    <w:numPr>
                      <w:ilvl w:val="0"/>
                      <w:numId w:val="2"/>
                    </w:numPr>
                    <w:spacing w:after="120" w:line="239" w:lineRule="auto"/>
                  </w:pPr>
                  <w:r>
                    <w:rPr>
                      <w:color w:val="FFFFFF"/>
                    </w:rPr>
                    <w:t xml:space="preserve">Ezután a garatpálcát belemossuk a Stabilizáló </w:t>
                  </w:r>
                  <w:proofErr w:type="spellStart"/>
                  <w:r>
                    <w:rPr>
                      <w:color w:val="FFFFFF"/>
                    </w:rPr>
                    <w:t>Inaktiváló</w:t>
                  </w:r>
                  <w:proofErr w:type="spellEnd"/>
                  <w:r>
                    <w:rPr>
                      <w:color w:val="FFFFFF"/>
                    </w:rPr>
                    <w:t xml:space="preserve"> Médiumba, körülbelül 10 másodpercig tartó forgó mozdulattal. </w:t>
                  </w:r>
                </w:p>
                <w:p w14:paraId="05351A82" w14:textId="77777777" w:rsidR="00532B13" w:rsidRDefault="00532B13" w:rsidP="00EF4D2D">
                  <w:pPr>
                    <w:numPr>
                      <w:ilvl w:val="0"/>
                      <w:numId w:val="2"/>
                    </w:numPr>
                    <w:spacing w:after="120" w:line="239" w:lineRule="auto"/>
                  </w:pPr>
                  <w:r>
                    <w:rPr>
                      <w:color w:val="FFFFFF"/>
                    </w:rPr>
                    <w:t xml:space="preserve">A másik mintavételi pálcával az orrnyálkahártya felszínéről veszünk </w:t>
                  </w:r>
                  <w:proofErr w:type="spellStart"/>
                  <w:r>
                    <w:rPr>
                      <w:color w:val="FFFFFF"/>
                    </w:rPr>
                    <w:t>törletet</w:t>
                  </w:r>
                  <w:proofErr w:type="spellEnd"/>
                  <w:r>
                    <w:rPr>
                      <w:color w:val="FFFFFF"/>
                    </w:rPr>
                    <w:t xml:space="preserve">, az orrsövénnyel ellentétes oldalon, rotáló mozgást végezve. </w:t>
                  </w:r>
                </w:p>
                <w:p w14:paraId="6146AAE4" w14:textId="77777777" w:rsidR="00532B13" w:rsidRDefault="00532B13" w:rsidP="00532B13">
                  <w:pPr>
                    <w:numPr>
                      <w:ilvl w:val="0"/>
                      <w:numId w:val="2"/>
                    </w:numPr>
                    <w:spacing w:after="98"/>
                  </w:pPr>
                  <w:r>
                    <w:rPr>
                      <w:color w:val="FFFFFF"/>
                    </w:rPr>
                    <w:t xml:space="preserve">Ezután a pálcát belemossuk a már előzőleg is használt csőbe, 10 másodpercig tartó forgó mozdulattal. </w:t>
                  </w:r>
                </w:p>
                <w:p w14:paraId="6F16D979" w14:textId="77777777" w:rsidR="00532B13" w:rsidRDefault="00532B13" w:rsidP="00532B13">
                  <w:pPr>
                    <w:numPr>
                      <w:ilvl w:val="0"/>
                      <w:numId w:val="2"/>
                    </w:numPr>
                  </w:pPr>
                  <w:r>
                    <w:rPr>
                      <w:color w:val="FFFFFF"/>
                    </w:rPr>
                    <w:t>A pálcákat eltávolítjuk a csőből és a helyi szabályozásoknak megfelelően, veszélyes hulladékként kezeljük.</w:t>
                  </w:r>
                  <w:r>
                    <w:t xml:space="preserve"> </w:t>
                  </w:r>
                </w:p>
              </w:tc>
            </w:tr>
          </w:tbl>
          <w:p w14:paraId="0F019AC5" w14:textId="77777777" w:rsidR="00532B13" w:rsidRDefault="00532B13" w:rsidP="00EF4D2D">
            <w:pPr>
              <w:ind w:left="142"/>
            </w:pPr>
            <w:r>
              <w:t xml:space="preserve">A levett mintát tartalmazó csövet a kupakkal szorosan le kell zárni.  </w:t>
            </w:r>
          </w:p>
          <w:p w14:paraId="4B9B37B4" w14:textId="77777777" w:rsidR="00532B13" w:rsidRDefault="00532B13" w:rsidP="00EF4D2D">
            <w:pPr>
              <w:spacing w:after="98"/>
              <w:ind w:left="141"/>
            </w:pPr>
            <w:r>
              <w:t xml:space="preserve">A friss fertőzés kizárásához 48 óra különbséggel vételezett második légúti minta vizsgálatára is szükség van. </w:t>
            </w:r>
          </w:p>
          <w:p w14:paraId="1CB4E0D0" w14:textId="77777777" w:rsidR="00532B13" w:rsidRDefault="00532B13" w:rsidP="00EF4D2D">
            <w:r>
              <w:rPr>
                <w:b/>
                <w:color w:val="31B2AD"/>
              </w:rPr>
              <w:t xml:space="preserve">Mintacsomagolás, mintaszállítás és mintatárolás: </w:t>
            </w:r>
          </w:p>
          <w:p w14:paraId="62215F08" w14:textId="77777777" w:rsidR="00532B13" w:rsidRDefault="00532B13" w:rsidP="00EF4D2D">
            <w:pPr>
              <w:spacing w:line="239" w:lineRule="auto"/>
              <w:ind w:left="142"/>
              <w:jc w:val="both"/>
            </w:pPr>
            <w:r>
              <w:t xml:space="preserve">A beteganyagot tartalmazó csövet bele kell tekerni papírvattába vagy más nedvszívó anyagba, majd belehelyezni egy </w:t>
            </w:r>
            <w:proofErr w:type="spellStart"/>
            <w:r>
              <w:t>simítózáras</w:t>
            </w:r>
            <w:proofErr w:type="spellEnd"/>
            <w:r>
              <w:t xml:space="preserve"> tasakba.  </w:t>
            </w:r>
          </w:p>
          <w:p w14:paraId="35479D15" w14:textId="77777777" w:rsidR="00532B13" w:rsidRDefault="00532B13" w:rsidP="00EF4D2D">
            <w:pPr>
              <w:spacing w:after="98"/>
              <w:ind w:left="142"/>
            </w:pPr>
            <w:r>
              <w:t xml:space="preserve">A minta az elszállításáig, de legfeljebb 7 napig szobahőmérsékleten tárolható. </w:t>
            </w:r>
          </w:p>
          <w:p w14:paraId="17620D0B" w14:textId="77777777" w:rsidR="00532B13" w:rsidRDefault="00532B13" w:rsidP="00EF4D2D">
            <w:r>
              <w:rPr>
                <w:b/>
                <w:color w:val="31B2AD"/>
              </w:rPr>
              <w:t xml:space="preserve">Mintafogadás: </w:t>
            </w:r>
          </w:p>
          <w:p w14:paraId="279B0D61" w14:textId="77777777" w:rsidR="00532B13" w:rsidRDefault="00532B13" w:rsidP="00EF4D2D">
            <w:pPr>
              <w:spacing w:after="120" w:line="239" w:lineRule="auto"/>
              <w:ind w:left="142" w:right="2060"/>
            </w:pPr>
            <w:r>
              <w:t xml:space="preserve">A mintákat a Neumann </w:t>
            </w:r>
            <w:proofErr w:type="spellStart"/>
            <w:r>
              <w:t>Diagnostics</w:t>
            </w:r>
            <w:proofErr w:type="spellEnd"/>
            <w:r>
              <w:t xml:space="preserve"> Kft. Neumann Diagnosztikai Laboratóriumába kell szállítani. Cím: 1139 Budapest, Röppentyű u. 48., Mintaátvétel: H–P 8 – 17. </w:t>
            </w:r>
          </w:p>
          <w:p w14:paraId="025D066D" w14:textId="77777777" w:rsidR="00532B13" w:rsidRDefault="00532B13" w:rsidP="00EF4D2D">
            <w:r>
              <w:rPr>
                <w:b/>
                <w:color w:val="31B2AD"/>
              </w:rPr>
              <w:t xml:space="preserve">Leletközlés rendje: </w:t>
            </w:r>
          </w:p>
          <w:p w14:paraId="45CC4250" w14:textId="1DFE985D" w:rsidR="00532B13" w:rsidRDefault="00532B13" w:rsidP="00EF4D2D">
            <w:pPr>
              <w:spacing w:after="120" w:line="239" w:lineRule="auto"/>
              <w:ind w:left="141" w:right="1224"/>
            </w:pPr>
            <w:r>
              <w:t xml:space="preserve">Leletküldést a portal.neumannlabs.com weboldalon tudunk biztosítani, </w:t>
            </w:r>
            <w:r w:rsidR="00515F88">
              <w:t xml:space="preserve">1-3 munkanappal </w:t>
            </w:r>
            <w:r>
              <w:t xml:space="preserve">a mintaátvételt követően. A pozitív esetekről azonnal megkíséreljük telefonon értesíteni a beküldő intézményt. </w:t>
            </w:r>
          </w:p>
          <w:p w14:paraId="4818D22D" w14:textId="77777777" w:rsidR="00532B13" w:rsidRDefault="00532B13" w:rsidP="00EF4D2D">
            <w:r>
              <w:rPr>
                <w:b/>
                <w:color w:val="31B2AD"/>
              </w:rPr>
              <w:t xml:space="preserve">Jelentési kötelezettségeink: </w:t>
            </w:r>
          </w:p>
          <w:p w14:paraId="7B43F464" w14:textId="77777777" w:rsidR="00532B13" w:rsidRDefault="00532B13" w:rsidP="00EF4D2D">
            <w:pPr>
              <w:spacing w:after="98"/>
              <w:ind w:left="142"/>
            </w:pPr>
            <w:r>
              <w:t xml:space="preserve">Az EESZT felületére és a járványügyi rendszerbe a kiadott leletek eredményei napi rendszerességgel feltöltésre kerülnek. </w:t>
            </w:r>
          </w:p>
          <w:p w14:paraId="79039DAE" w14:textId="77777777" w:rsidR="00532B13" w:rsidRDefault="00532B13" w:rsidP="00EF4D2D">
            <w:pPr>
              <w:ind w:left="3252" w:right="1865" w:hanging="1622"/>
              <w:jc w:val="both"/>
            </w:pPr>
            <w:r>
              <w:rPr>
                <w:rFonts w:ascii="Trebuchet MS" w:eastAsia="Trebuchet MS" w:hAnsi="Trebuchet MS" w:cs="Trebuchet MS"/>
                <w:color w:val="5C5D61"/>
                <w:sz w:val="16"/>
              </w:rPr>
              <w:t xml:space="preserve">Neumann </w:t>
            </w:r>
            <w:proofErr w:type="spellStart"/>
            <w:r>
              <w:rPr>
                <w:rFonts w:ascii="Trebuchet MS" w:eastAsia="Trebuchet MS" w:hAnsi="Trebuchet MS" w:cs="Trebuchet MS"/>
                <w:color w:val="5C5D61"/>
                <w:sz w:val="16"/>
              </w:rPr>
              <w:t>Diagnostics</w:t>
            </w:r>
            <w:proofErr w:type="spellEnd"/>
            <w:r>
              <w:rPr>
                <w:rFonts w:ascii="Trebuchet MS" w:eastAsia="Trebuchet MS" w:hAnsi="Trebuchet MS" w:cs="Trebuchet MS"/>
                <w:color w:val="5C5D61"/>
                <w:sz w:val="16"/>
              </w:rPr>
              <w:t xml:space="preserve"> Kft. | Neumann Diagnosztikai Laboratórium | 1139 Budapest, Röppentyű u. 48. Tel.:  +36 70 799 6795 | E-mail: labor@neumanndx.com </w:t>
            </w:r>
            <w:bookmarkEnd w:id="1"/>
          </w:p>
        </w:tc>
      </w:tr>
    </w:tbl>
    <w:p w14:paraId="09B31093" w14:textId="77777777" w:rsidR="00CF565E" w:rsidRDefault="00CF565E" w:rsidP="00C13969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sectPr w:rsidR="00CF565E" w:rsidSect="00095E0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1D78"/>
    <w:multiLevelType w:val="hybridMultilevel"/>
    <w:tmpl w:val="70A2823C"/>
    <w:lvl w:ilvl="0" w:tplc="B5782F24">
      <w:start w:val="1"/>
      <w:numFmt w:val="decimal"/>
      <w:lvlText w:val="%1.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64B956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2B1DA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82488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0AF6E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41294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EC582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C4484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C70F8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15452"/>
    <w:multiLevelType w:val="hybridMultilevel"/>
    <w:tmpl w:val="3138A732"/>
    <w:lvl w:ilvl="0" w:tplc="976C6E9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A856A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AB02E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0708A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CFE0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A0C1AA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C1C14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841F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CCD5E0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0C"/>
    <w:rsid w:val="00053B03"/>
    <w:rsid w:val="00061649"/>
    <w:rsid w:val="00080E0B"/>
    <w:rsid w:val="00095E08"/>
    <w:rsid w:val="000962BB"/>
    <w:rsid w:val="000A0827"/>
    <w:rsid w:val="00125FC2"/>
    <w:rsid w:val="001F6CB0"/>
    <w:rsid w:val="00231E55"/>
    <w:rsid w:val="0033084B"/>
    <w:rsid w:val="003942D4"/>
    <w:rsid w:val="003C6776"/>
    <w:rsid w:val="0040431A"/>
    <w:rsid w:val="00407FCD"/>
    <w:rsid w:val="0041305E"/>
    <w:rsid w:val="004468E8"/>
    <w:rsid w:val="00452EB8"/>
    <w:rsid w:val="00482B6A"/>
    <w:rsid w:val="00486E37"/>
    <w:rsid w:val="00515F88"/>
    <w:rsid w:val="00532B13"/>
    <w:rsid w:val="00553ADC"/>
    <w:rsid w:val="00584612"/>
    <w:rsid w:val="005A5708"/>
    <w:rsid w:val="005D25A9"/>
    <w:rsid w:val="00663222"/>
    <w:rsid w:val="00673074"/>
    <w:rsid w:val="0070430C"/>
    <w:rsid w:val="007166FB"/>
    <w:rsid w:val="00825779"/>
    <w:rsid w:val="00873831"/>
    <w:rsid w:val="008A762C"/>
    <w:rsid w:val="009248BC"/>
    <w:rsid w:val="00971270"/>
    <w:rsid w:val="0097689A"/>
    <w:rsid w:val="00987E69"/>
    <w:rsid w:val="009A43B0"/>
    <w:rsid w:val="009A7013"/>
    <w:rsid w:val="00A013DB"/>
    <w:rsid w:val="00A255B1"/>
    <w:rsid w:val="00A331E8"/>
    <w:rsid w:val="00A42937"/>
    <w:rsid w:val="00A50485"/>
    <w:rsid w:val="00AA2810"/>
    <w:rsid w:val="00AD652B"/>
    <w:rsid w:val="00B51C79"/>
    <w:rsid w:val="00B949EB"/>
    <w:rsid w:val="00BA178C"/>
    <w:rsid w:val="00BD3B04"/>
    <w:rsid w:val="00BD5F72"/>
    <w:rsid w:val="00C13969"/>
    <w:rsid w:val="00C1633F"/>
    <w:rsid w:val="00C83563"/>
    <w:rsid w:val="00C963DF"/>
    <w:rsid w:val="00CE7C3A"/>
    <w:rsid w:val="00CF313A"/>
    <w:rsid w:val="00CF565E"/>
    <w:rsid w:val="00D4297A"/>
    <w:rsid w:val="00DC0843"/>
    <w:rsid w:val="00DC7766"/>
    <w:rsid w:val="00EE163B"/>
    <w:rsid w:val="00EF10A9"/>
    <w:rsid w:val="00F2533D"/>
    <w:rsid w:val="00F57F4D"/>
    <w:rsid w:val="00F6515F"/>
    <w:rsid w:val="00F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211C"/>
  <w15:chartTrackingRefBased/>
  <w15:docId w15:val="{7F1B1892-8D9D-46D2-9037-B3A0F56B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430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48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305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rsid w:val="00231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31E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231E55"/>
    <w:pPr>
      <w:spacing w:after="0" w:line="240" w:lineRule="auto"/>
    </w:pPr>
    <w:rPr>
      <w:rFonts w:ascii="Arial" w:eastAsia="Times New Roman" w:hAnsi="Arial" w:cs="Arial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31E55"/>
    <w:rPr>
      <w:rFonts w:ascii="Arial" w:eastAsia="Times New Roman" w:hAnsi="Arial" w:cs="Arial"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231E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231E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31E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31E5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80E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32B13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loldatlanmegemlts">
    <w:name w:val="Unresolved Mention"/>
    <w:basedOn w:val="Bekezdsalapbettpusa"/>
    <w:uiPriority w:val="99"/>
    <w:semiHidden/>
    <w:unhideWhenUsed/>
    <w:rsid w:val="0039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neo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mannlabs.com/adatved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ineo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Kovács</dc:creator>
  <cp:keywords/>
  <dc:description/>
  <cp:lastModifiedBy>Kálmán Fábián</cp:lastModifiedBy>
  <cp:revision>2</cp:revision>
  <cp:lastPrinted>2020-09-28T07:04:00Z</cp:lastPrinted>
  <dcterms:created xsi:type="dcterms:W3CDTF">2020-10-08T12:55:00Z</dcterms:created>
  <dcterms:modified xsi:type="dcterms:W3CDTF">2020-10-08T12:55:00Z</dcterms:modified>
</cp:coreProperties>
</file>